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93" w:rsidRPr="001A1D7A" w:rsidRDefault="00FB0793" w:rsidP="00FB0793">
      <w:pPr>
        <w:pStyle w:val="ConsPlusNormal"/>
        <w:ind w:firstLine="0"/>
        <w:jc w:val="right"/>
        <w:outlineLvl w:val="0"/>
        <w:rPr>
          <w:szCs w:val="24"/>
        </w:rPr>
      </w:pPr>
      <w:r w:rsidRPr="001A1D7A">
        <w:rPr>
          <w:szCs w:val="24"/>
        </w:rPr>
        <w:t>УТВЕРЖДЕНО</w:t>
      </w:r>
    </w:p>
    <w:p w:rsidR="00FB0793" w:rsidRDefault="00FB0793" w:rsidP="00FB0793">
      <w:pPr>
        <w:autoSpaceDE w:val="0"/>
        <w:jc w:val="right"/>
      </w:pPr>
      <w:r w:rsidRPr="001A1D7A">
        <w:t>решением совета депутатов</w:t>
      </w:r>
    </w:p>
    <w:p w:rsidR="00FB0793" w:rsidRDefault="00FB0793" w:rsidP="00FB0793">
      <w:pPr>
        <w:autoSpaceDE w:val="0"/>
        <w:jc w:val="right"/>
      </w:pPr>
      <w:r w:rsidRPr="001A1D7A">
        <w:t xml:space="preserve"> муниципального образования </w:t>
      </w:r>
    </w:p>
    <w:p w:rsidR="00FB0793" w:rsidRDefault="003A7A84" w:rsidP="00FB0793">
      <w:pPr>
        <w:autoSpaceDE w:val="0"/>
        <w:jc w:val="right"/>
      </w:pPr>
      <w:r>
        <w:t>Рабитицкое</w:t>
      </w:r>
      <w:r w:rsidR="00FB0793" w:rsidRPr="001A1D7A">
        <w:t xml:space="preserve"> сельское поселение</w:t>
      </w:r>
    </w:p>
    <w:p w:rsidR="00FB0793" w:rsidRDefault="00FB0793" w:rsidP="00FB0793">
      <w:pPr>
        <w:autoSpaceDE w:val="0"/>
        <w:jc w:val="right"/>
      </w:pPr>
      <w:r>
        <w:t xml:space="preserve">Волосовского муниципального района </w:t>
      </w:r>
    </w:p>
    <w:p w:rsidR="00FB0793" w:rsidRPr="001A1D7A" w:rsidRDefault="00FB0793" w:rsidP="00FB0793">
      <w:pPr>
        <w:autoSpaceDE w:val="0"/>
        <w:jc w:val="right"/>
        <w:rPr>
          <w:i/>
        </w:rPr>
      </w:pPr>
      <w:r>
        <w:t>Ленинградской области</w:t>
      </w:r>
    </w:p>
    <w:p w:rsidR="00FB0793" w:rsidRPr="001A1D7A" w:rsidRDefault="00FB0793" w:rsidP="00FB0793">
      <w:pPr>
        <w:autoSpaceDE w:val="0"/>
        <w:jc w:val="right"/>
      </w:pPr>
      <w:r w:rsidRPr="001A1D7A">
        <w:t xml:space="preserve">от </w:t>
      </w:r>
      <w:r w:rsidR="003C75F9">
        <w:t>18.02.</w:t>
      </w:r>
      <w:r w:rsidR="001E77ED">
        <w:t>2022 г. №</w:t>
      </w:r>
      <w:r w:rsidR="003C75F9">
        <w:t>148</w:t>
      </w:r>
      <w:bookmarkStart w:id="0" w:name="_GoBack"/>
      <w:bookmarkEnd w:id="0"/>
    </w:p>
    <w:p w:rsidR="008D55F5" w:rsidRPr="002D071A" w:rsidRDefault="008D55F5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bookmarkStart w:id="1" w:name="Par35"/>
      <w:bookmarkEnd w:id="1"/>
      <w:r w:rsidRPr="002D071A">
        <w:rPr>
          <w:sz w:val="28"/>
          <w:szCs w:val="28"/>
        </w:rPr>
        <w:t> </w:t>
      </w:r>
    </w:p>
    <w:p w:rsidR="001E77ED" w:rsidRPr="001E77ED" w:rsidRDefault="001E77ED" w:rsidP="001E77ED">
      <w:pPr>
        <w:tabs>
          <w:tab w:val="num" w:pos="200"/>
        </w:tabs>
        <w:ind w:left="4536"/>
        <w:jc w:val="center"/>
        <w:outlineLvl w:val="0"/>
        <w:rPr>
          <w:rFonts w:eastAsia="Times New Roman"/>
          <w:color w:val="000000"/>
        </w:rPr>
      </w:pPr>
    </w:p>
    <w:p w:rsidR="001E77ED" w:rsidRPr="001E77ED" w:rsidRDefault="001E77ED" w:rsidP="001E77ED">
      <w:pPr>
        <w:tabs>
          <w:tab w:val="num" w:pos="200"/>
        </w:tabs>
        <w:ind w:left="4536"/>
        <w:jc w:val="center"/>
        <w:outlineLvl w:val="0"/>
        <w:rPr>
          <w:rFonts w:eastAsia="Times New Roman"/>
          <w:color w:val="000000"/>
        </w:rPr>
      </w:pPr>
    </w:p>
    <w:p w:rsidR="001E77ED" w:rsidRPr="001E77ED" w:rsidRDefault="001E77ED" w:rsidP="001E77ED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 w:rsidRPr="001E77ED">
        <w:rPr>
          <w:rFonts w:eastAsia="Times New Roman"/>
          <w:color w:val="000000"/>
          <w:lang w:eastAsia="zh-CN"/>
        </w:rPr>
        <w:t xml:space="preserve">Приложение № </w:t>
      </w:r>
      <w:r>
        <w:rPr>
          <w:rFonts w:eastAsia="Times New Roman"/>
          <w:color w:val="000000"/>
          <w:lang w:eastAsia="zh-CN"/>
        </w:rPr>
        <w:t>5</w:t>
      </w:r>
      <w:r w:rsidRPr="001E77ED">
        <w:rPr>
          <w:rFonts w:eastAsia="Times New Roman"/>
          <w:color w:val="000000"/>
          <w:lang w:eastAsia="zh-CN"/>
        </w:rPr>
        <w:t xml:space="preserve"> к </w:t>
      </w:r>
    </w:p>
    <w:p w:rsidR="001E77ED" w:rsidRPr="001E77ED" w:rsidRDefault="001E77ED" w:rsidP="001E77ED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 w:rsidRPr="001E77ED">
        <w:rPr>
          <w:rFonts w:eastAsia="Times New Roman"/>
          <w:color w:val="000000"/>
          <w:lang w:eastAsia="zh-CN"/>
        </w:rPr>
        <w:t xml:space="preserve">Положению о муниципальном контроле </w:t>
      </w:r>
    </w:p>
    <w:p w:rsidR="001E77ED" w:rsidRPr="001E77ED" w:rsidRDefault="001E77ED" w:rsidP="001E77ED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 w:rsidRPr="001E77ED">
        <w:rPr>
          <w:rFonts w:eastAsia="Times New Roman"/>
          <w:color w:val="000000"/>
          <w:lang w:eastAsia="zh-CN"/>
        </w:rPr>
        <w:t xml:space="preserve">в сфере благоустройства на территории </w:t>
      </w:r>
    </w:p>
    <w:p w:rsidR="001E77ED" w:rsidRDefault="003A7A84" w:rsidP="001E77ED">
      <w:pPr>
        <w:suppressAutoHyphens/>
        <w:autoSpaceDE w:val="0"/>
        <w:jc w:val="right"/>
        <w:rPr>
          <w:rFonts w:eastAsia="Times New Roman"/>
          <w:iCs/>
          <w:color w:val="000000"/>
          <w:lang w:eastAsia="zh-CN"/>
        </w:rPr>
      </w:pPr>
      <w:r>
        <w:rPr>
          <w:rFonts w:eastAsia="Times New Roman"/>
          <w:iCs/>
          <w:color w:val="000000"/>
          <w:lang w:eastAsia="zh-CN"/>
        </w:rPr>
        <w:t>Рабитицкого</w:t>
      </w:r>
      <w:r w:rsidR="001E77ED" w:rsidRPr="001E77ED">
        <w:rPr>
          <w:rFonts w:eastAsia="Times New Roman"/>
          <w:iCs/>
          <w:color w:val="000000"/>
          <w:lang w:eastAsia="zh-CN"/>
        </w:rPr>
        <w:t xml:space="preserve"> сельского поселения</w:t>
      </w:r>
    </w:p>
    <w:p w:rsidR="001E77ED" w:rsidRDefault="001E77ED" w:rsidP="001E77ED">
      <w:pPr>
        <w:suppressAutoHyphens/>
        <w:autoSpaceDE w:val="0"/>
        <w:jc w:val="right"/>
        <w:rPr>
          <w:rFonts w:eastAsia="Times New Roman"/>
          <w:iCs/>
          <w:color w:val="000000"/>
          <w:lang w:eastAsia="zh-CN"/>
        </w:rPr>
      </w:pPr>
      <w:r>
        <w:rPr>
          <w:rFonts w:eastAsia="Times New Roman"/>
          <w:iCs/>
          <w:color w:val="000000"/>
          <w:lang w:eastAsia="zh-CN"/>
        </w:rPr>
        <w:t>Волосовского муниципального района</w:t>
      </w:r>
    </w:p>
    <w:p w:rsidR="001E77ED" w:rsidRPr="001E77ED" w:rsidRDefault="001E77ED" w:rsidP="001E77ED">
      <w:pPr>
        <w:suppressAutoHyphens/>
        <w:autoSpaceDE w:val="0"/>
        <w:jc w:val="right"/>
        <w:rPr>
          <w:rFonts w:eastAsia="Times New Roman"/>
          <w:iCs/>
          <w:color w:val="000000"/>
          <w:lang w:eastAsia="zh-CN"/>
        </w:rPr>
      </w:pPr>
      <w:r>
        <w:rPr>
          <w:rFonts w:eastAsia="Times New Roman"/>
          <w:iCs/>
          <w:color w:val="000000"/>
          <w:lang w:eastAsia="zh-CN"/>
        </w:rPr>
        <w:t>Ленинградской области</w:t>
      </w:r>
    </w:p>
    <w:p w:rsidR="001E77ED" w:rsidRPr="001E77ED" w:rsidRDefault="001E77ED" w:rsidP="001E77ED">
      <w:pPr>
        <w:suppressAutoHyphens/>
        <w:autoSpaceDE w:val="0"/>
        <w:jc w:val="center"/>
        <w:rPr>
          <w:rFonts w:eastAsia="Times New Roman"/>
          <w:color w:val="000000"/>
          <w:lang w:eastAsia="zh-CN"/>
        </w:rPr>
      </w:pPr>
    </w:p>
    <w:p w:rsidR="001C7C0C" w:rsidRDefault="001E77ED" w:rsidP="001C7C0C">
      <w:pPr>
        <w:spacing w:line="240" w:lineRule="exact"/>
        <w:jc w:val="center"/>
        <w:rPr>
          <w:rFonts w:eastAsia="Times New Roman"/>
          <w:color w:val="000000"/>
          <w:sz w:val="28"/>
          <w:szCs w:val="28"/>
        </w:rPr>
      </w:pPr>
      <w:r w:rsidRPr="001E77ED">
        <w:rPr>
          <w:rFonts w:eastAsia="Times New Roman"/>
          <w:color w:val="000000"/>
          <w:sz w:val="28"/>
          <w:szCs w:val="28"/>
        </w:rPr>
        <w:t>Ключевые и индикативные показатели контроля в сфере</w:t>
      </w:r>
    </w:p>
    <w:p w:rsidR="001E77ED" w:rsidRPr="001E77ED" w:rsidRDefault="001E77ED" w:rsidP="001C7C0C">
      <w:pPr>
        <w:spacing w:line="240" w:lineRule="exact"/>
        <w:jc w:val="center"/>
        <w:rPr>
          <w:rFonts w:eastAsia="Times New Roman"/>
          <w:color w:val="000000"/>
          <w:sz w:val="28"/>
          <w:szCs w:val="28"/>
        </w:rPr>
      </w:pPr>
      <w:r w:rsidRPr="001E77ED">
        <w:rPr>
          <w:rFonts w:eastAsia="Times New Roman"/>
          <w:color w:val="000000"/>
          <w:sz w:val="28"/>
          <w:szCs w:val="28"/>
        </w:rPr>
        <w:t>благоустройства</w:t>
      </w:r>
      <w:r w:rsidR="001C7C0C">
        <w:rPr>
          <w:rFonts w:eastAsia="Times New Roman"/>
          <w:color w:val="000000"/>
          <w:sz w:val="28"/>
          <w:szCs w:val="28"/>
        </w:rPr>
        <w:t xml:space="preserve"> на территории муниципального образования </w:t>
      </w:r>
      <w:r w:rsidR="003A7A84">
        <w:rPr>
          <w:rFonts w:eastAsia="Times New Roman"/>
          <w:color w:val="000000"/>
          <w:sz w:val="28"/>
          <w:szCs w:val="28"/>
        </w:rPr>
        <w:t>Рабитицкое</w:t>
      </w:r>
      <w:r w:rsidR="001C7C0C">
        <w:rPr>
          <w:rFonts w:eastAsia="Times New Roman"/>
          <w:color w:val="000000"/>
          <w:sz w:val="28"/>
          <w:szCs w:val="28"/>
        </w:rPr>
        <w:t xml:space="preserve"> сельское поселение</w:t>
      </w:r>
    </w:p>
    <w:p w:rsidR="001E77ED" w:rsidRPr="001E77ED" w:rsidRDefault="001E77ED" w:rsidP="001E77ED">
      <w:pPr>
        <w:spacing w:line="240" w:lineRule="exact"/>
        <w:rPr>
          <w:rFonts w:eastAsia="Times New Roman"/>
          <w:color w:val="000000"/>
          <w:sz w:val="28"/>
          <w:szCs w:val="28"/>
        </w:rPr>
      </w:pPr>
    </w:p>
    <w:p w:rsidR="001E77ED" w:rsidRPr="001E77ED" w:rsidRDefault="001E77ED" w:rsidP="001E77ED">
      <w:pPr>
        <w:spacing w:line="240" w:lineRule="exact"/>
        <w:ind w:firstLine="709"/>
        <w:jc w:val="both"/>
        <w:rPr>
          <w:rFonts w:eastAsia="Times New Roman"/>
          <w:b/>
          <w:color w:val="000000"/>
        </w:rPr>
      </w:pPr>
    </w:p>
    <w:tbl>
      <w:tblPr>
        <w:tblW w:w="1034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794"/>
        <w:gridCol w:w="1412"/>
        <w:gridCol w:w="3206"/>
        <w:gridCol w:w="1958"/>
        <w:gridCol w:w="1019"/>
      </w:tblGrid>
      <w:tr w:rsidR="001E77ED" w:rsidRPr="001E77ED" w:rsidTr="001E77ED">
        <w:tc>
          <w:tcPr>
            <w:tcW w:w="959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206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958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019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1E77ED" w:rsidRPr="001E77ED" w:rsidTr="001E77ED">
        <w:tc>
          <w:tcPr>
            <w:tcW w:w="10348" w:type="dxa"/>
            <w:gridSpan w:val="6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Ключевые показатели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389" w:type="dxa"/>
            <w:gridSpan w:val="5"/>
            <w:shd w:val="clear" w:color="auto" w:fill="FFFFFF"/>
            <w:hideMark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А.1 = 100% х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не сод. /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прил.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E77ED" w:rsidRPr="001E77ED" w:rsidRDefault="005F4A7B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="001E77ED"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6" w:type="dxa"/>
            <w:shd w:val="clear" w:color="auto" w:fill="FFFFFF"/>
            <w:hideMark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1E77ED" w:rsidRPr="001E77ED" w:rsidRDefault="001E77ED" w:rsidP="001E77E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shd w:val="clear" w:color="auto" w:fill="FFFFFF"/>
            <w:hideMark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менее или равно _____ 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с учетом площади всех прилегающих территорий. Соответствующая доля должна 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уменьшаться из года в год. Следовательно, предлагаем полученную величину уменьшить примерно на 10% в сравнении с предыдущим годом)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  <w:hideMark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А.2 =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УДК)</w:t>
            </w:r>
          </w:p>
          <w:p w:rsidR="001E77ED" w:rsidRPr="001E77ED" w:rsidRDefault="005F4A7B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="001E77ED"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либо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А.3 =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КМТОП)</w:t>
            </w:r>
          </w:p>
          <w:p w:rsidR="001E77ED" w:rsidRPr="001E77ED" w:rsidRDefault="005F4A7B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="001E77ED"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либо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А.4 =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СТЛ)</w:t>
            </w:r>
          </w:p>
          <w:p w:rsidR="001E77ED" w:rsidRPr="001E77ED" w:rsidRDefault="005F4A7B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="001E77ED"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- не своевременного удаления сосулек;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либо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1E77E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 и ядовиты</w:t>
            </w:r>
            <w:r w:rsidRPr="001E77ED">
              <w:rPr>
                <w:rFonts w:eastAsia="Times New Roman"/>
                <w:bCs/>
                <w:color w:val="000000"/>
                <w:sz w:val="20"/>
                <w:szCs w:val="20"/>
              </w:rPr>
              <w:t>ми растениями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А.5 =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СВЛ)</w:t>
            </w:r>
          </w:p>
          <w:p w:rsidR="001E77ED" w:rsidRPr="001E77ED" w:rsidRDefault="005F4A7B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="001E77ED"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1E77E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1E77ED">
              <w:rPr>
                <w:rFonts w:eastAsia="Times New Roman"/>
                <w:bCs/>
                <w:color w:val="000000"/>
                <w:sz w:val="20"/>
                <w:szCs w:val="20"/>
              </w:rPr>
              <w:t>х растений с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0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либо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1E77ED" w:rsidRPr="001E77ED" w:rsidTr="001E77ED">
        <w:tc>
          <w:tcPr>
            <w:tcW w:w="10348" w:type="dxa"/>
            <w:gridSpan w:val="6"/>
            <w:shd w:val="clear" w:color="auto" w:fill="FFFFFF"/>
            <w:vAlign w:val="center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389" w:type="dxa"/>
            <w:gridSpan w:val="5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Б.1</w:t>
            </w:r>
            <w:r w:rsidRPr="001E77E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плановых контрольных мероприятий,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плановых контрольных мероприятий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(КПМ),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 определяется как сумма вне</w:t>
            </w:r>
            <w:r w:rsidRPr="001E77ED">
              <w:rPr>
                <w:rFonts w:eastAsia="Times New Roman"/>
                <w:sz w:val="20"/>
                <w:szCs w:val="20"/>
              </w:rPr>
              <w:t xml:space="preserve">плановых контрольных мероприятий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(КВМ),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Б.3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(КВМИР),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Б.4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контрольных мероприятий с взаимодействием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(КМСВ),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 xml:space="preserve">Количество контрольных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мероприятий с взаимодействием по каждому виду контрольных мероприятий,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Б.5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КМСВвид)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контрольных мероприятий с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взаимодействием по каждому виду контрольных мероприятий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(КМСВвид),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Б.6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КМДист)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(КМДист),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Б.7</w:t>
            </w:r>
            <w:r w:rsidRPr="001E77E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Б.7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обязательных профилактических визитов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(КОПВ),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соответствующего вида муниципального контроля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Б.8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(КПНН),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контрольных</w:t>
            </w:r>
          </w:p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Б.9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(КМНОТ),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</w:rPr>
            </w:pPr>
            <w:r w:rsidRPr="001E77ED">
              <w:rPr>
                <w:rFonts w:eastAsia="Times New Roman"/>
                <w:sz w:val="20"/>
                <w:szCs w:val="20"/>
              </w:rPr>
              <w:t xml:space="preserve">Количество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Б.10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Б.10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контрольных мероприятий, по итогам которых возбуждены дела об административных правонарушениях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(КМАП),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Целевое значение не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Б.11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Б.11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(АШ),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Б.12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(КЗОП),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Б.13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(КЗОПОС),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проведенных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Б.14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учтенных объектов контроля на конец отчетного периода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учёта объектов контроля на конец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Б.15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(КУОККР)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 xml:space="preserve">Количество учтенных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контролируемых лиц на конец отчетного периода</w:t>
            </w:r>
          </w:p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Б.16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учтенных контролируемых лиц на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конец отчетного периода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Результаты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учёта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контролируемых лиц на конец отчетного периода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Б.17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(УКЛКМ)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Б.18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(КЖДП)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Б.19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(КЖНС),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Б.20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(КЖОР),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</w:t>
            </w:r>
            <w:r w:rsidRPr="001E77ED">
              <w:rPr>
                <w:rFonts w:eastAsia="Times New Roman"/>
                <w:sz w:val="20"/>
                <w:szCs w:val="20"/>
              </w:rPr>
              <w:lastRenderedPageBreak/>
              <w:t>лицами в судебном порядке,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Б.21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(КИЗ),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Б.22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Б.22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(КУИЗ),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Б.23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1E77ED">
              <w:rPr>
                <w:rFonts w:eastAsia="Times New Roman"/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(КМГНТ),</w:t>
            </w:r>
            <w:r w:rsidRPr="001E77ED">
              <w:rPr>
                <w:rFonts w:eastAsia="Times New Roman"/>
                <w:sz w:val="20"/>
                <w:szCs w:val="20"/>
              </w:rPr>
              <w:t xml:space="preserve"> за отчетный период.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begin"/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F4A7B" w:rsidRPr="001E77ED">
              <w:rPr>
                <w:rFonts w:eastAsia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Б.24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1E77E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Б.24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___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Б.24</w:t>
            </w: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1E77E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Доля затрат времени на контроль в сфере благоустройства штатной единицы, в должностные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Б.24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осуществлению контроля в сфере благоустройства (определяется в процентах или в виде десятичной дроби) 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___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Штатное расписание, должностная инструкци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я, трудовой договор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Б.25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 (ОТ), а также суммы затрат на материально-техническое обеспечение контроля в сфере благоустройства (МТО)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___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Б.26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контроль в сфере благоустройства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Б.26 = </w:t>
            </w:r>
            <w:r w:rsidRPr="001E77ED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Sum(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>контроль в сфере благоустройства</w:t>
            </w: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1E77ED" w:rsidRPr="001E77ED" w:rsidTr="001E77ED">
        <w:tc>
          <w:tcPr>
            <w:tcW w:w="959" w:type="dxa"/>
            <w:shd w:val="clear" w:color="auto" w:fill="FFFFFF"/>
            <w:vAlign w:val="center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результативности, отражающий уровень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Б.28 = (А.1 + А.2 + А.3 + А.4 + А.5) / Б.25</w:t>
            </w:r>
          </w:p>
        </w:tc>
        <w:tc>
          <w:tcPr>
            <w:tcW w:w="3206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58" w:type="dxa"/>
            <w:shd w:val="clear" w:color="auto" w:fill="FFFFFF"/>
          </w:tcPr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1E77ED" w:rsidRPr="001E77ED" w:rsidRDefault="001E77ED" w:rsidP="001E77E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/>
          </w:tcPr>
          <w:p w:rsidR="001E77ED" w:rsidRPr="001E77ED" w:rsidRDefault="001E77ED" w:rsidP="001E77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77ED">
              <w:rPr>
                <w:rFonts w:eastAsia="Times New Roman"/>
                <w:color w:val="000000"/>
                <w:sz w:val="20"/>
                <w:szCs w:val="20"/>
              </w:rPr>
              <w:t xml:space="preserve">На основании расчетов показателей, </w:t>
            </w:r>
            <w:r w:rsidRPr="001E77E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предусмотренных выше</w:t>
            </w:r>
          </w:p>
        </w:tc>
      </w:tr>
    </w:tbl>
    <w:p w:rsidR="001E77ED" w:rsidRPr="001E77ED" w:rsidRDefault="001E77ED" w:rsidP="001E77ED">
      <w:pPr>
        <w:spacing w:line="240" w:lineRule="exact"/>
        <w:rPr>
          <w:rFonts w:eastAsia="Times New Roman"/>
          <w:b/>
          <w:color w:val="000000"/>
        </w:rPr>
      </w:pPr>
    </w:p>
    <w:p w:rsidR="00891782" w:rsidRDefault="00891782" w:rsidP="001E77ED">
      <w:pPr>
        <w:pStyle w:val="s20"/>
        <w:spacing w:before="0" w:beforeAutospacing="0" w:after="0" w:afterAutospacing="0" w:line="324" w:lineRule="atLeast"/>
        <w:jc w:val="center"/>
      </w:pPr>
    </w:p>
    <w:sectPr w:rsidR="00891782" w:rsidSect="005A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F6" w:rsidRDefault="006133F6" w:rsidP="003D45FF">
      <w:r>
        <w:separator/>
      </w:r>
    </w:p>
  </w:endnote>
  <w:endnote w:type="continuationSeparator" w:id="1">
    <w:p w:rsidR="006133F6" w:rsidRDefault="006133F6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F6" w:rsidRDefault="006133F6" w:rsidP="003D45FF">
      <w:r>
        <w:separator/>
      </w:r>
    </w:p>
  </w:footnote>
  <w:footnote w:type="continuationSeparator" w:id="1">
    <w:p w:rsidR="006133F6" w:rsidRDefault="006133F6" w:rsidP="003D45FF">
      <w:r>
        <w:continuationSeparator/>
      </w:r>
    </w:p>
  </w:footnote>
  <w:footnote w:id="2">
    <w:p w:rsidR="001E77ED" w:rsidRDefault="001E77ED" w:rsidP="001E77ED">
      <w:pPr>
        <w:pStyle w:val="ac"/>
        <w:jc w:val="both"/>
      </w:pPr>
      <w:r>
        <w:rPr>
          <w:rStyle w:val="ae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3">
    <w:p w:rsidR="001E77ED" w:rsidRPr="006073C6" w:rsidRDefault="001E77ED" w:rsidP="001E77ED">
      <w:pPr>
        <w:pStyle w:val="s16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e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4">
    <w:p w:rsidR="001E77ED" w:rsidRDefault="001E77ED" w:rsidP="001E77ED">
      <w:pPr>
        <w:pStyle w:val="ac"/>
        <w:jc w:val="both"/>
      </w:pPr>
      <w:r>
        <w:rPr>
          <w:rStyle w:val="ae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5">
    <w:p w:rsidR="001E77ED" w:rsidRDefault="001E77ED" w:rsidP="001E77ED">
      <w:pPr>
        <w:pStyle w:val="ac"/>
        <w:jc w:val="both"/>
      </w:pPr>
      <w:r>
        <w:rPr>
          <w:rStyle w:val="ae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27022"/>
    <w:rsid w:val="0005796B"/>
    <w:rsid w:val="000828C5"/>
    <w:rsid w:val="000F2EFB"/>
    <w:rsid w:val="00134075"/>
    <w:rsid w:val="001470B0"/>
    <w:rsid w:val="001963E3"/>
    <w:rsid w:val="001A6DA3"/>
    <w:rsid w:val="001C62A2"/>
    <w:rsid w:val="001C7C0C"/>
    <w:rsid w:val="001E2C51"/>
    <w:rsid w:val="001E77ED"/>
    <w:rsid w:val="002110C1"/>
    <w:rsid w:val="00211DF0"/>
    <w:rsid w:val="00237C79"/>
    <w:rsid w:val="002571D9"/>
    <w:rsid w:val="00282949"/>
    <w:rsid w:val="00283EF3"/>
    <w:rsid w:val="002D071A"/>
    <w:rsid w:val="002D5876"/>
    <w:rsid w:val="00314718"/>
    <w:rsid w:val="00336C7F"/>
    <w:rsid w:val="00361E44"/>
    <w:rsid w:val="00361E73"/>
    <w:rsid w:val="003A7A84"/>
    <w:rsid w:val="003C75F9"/>
    <w:rsid w:val="003D45FF"/>
    <w:rsid w:val="004249EC"/>
    <w:rsid w:val="0042693B"/>
    <w:rsid w:val="004B378C"/>
    <w:rsid w:val="004F2C68"/>
    <w:rsid w:val="00505888"/>
    <w:rsid w:val="00525266"/>
    <w:rsid w:val="00541278"/>
    <w:rsid w:val="005728C8"/>
    <w:rsid w:val="005A4310"/>
    <w:rsid w:val="005E0911"/>
    <w:rsid w:val="005F4A7B"/>
    <w:rsid w:val="006133F6"/>
    <w:rsid w:val="006541C8"/>
    <w:rsid w:val="00654947"/>
    <w:rsid w:val="00661875"/>
    <w:rsid w:val="006631B7"/>
    <w:rsid w:val="00693D81"/>
    <w:rsid w:val="007516D6"/>
    <w:rsid w:val="007C59AF"/>
    <w:rsid w:val="007F79A4"/>
    <w:rsid w:val="00891782"/>
    <w:rsid w:val="008953A4"/>
    <w:rsid w:val="008D55F5"/>
    <w:rsid w:val="008F67AA"/>
    <w:rsid w:val="00913F3D"/>
    <w:rsid w:val="00931D1F"/>
    <w:rsid w:val="00967550"/>
    <w:rsid w:val="009A2B05"/>
    <w:rsid w:val="009A3A64"/>
    <w:rsid w:val="00A76A96"/>
    <w:rsid w:val="00AF5678"/>
    <w:rsid w:val="00BB1FBD"/>
    <w:rsid w:val="00C2754F"/>
    <w:rsid w:val="00CB2FBE"/>
    <w:rsid w:val="00CE6715"/>
    <w:rsid w:val="00D01FA6"/>
    <w:rsid w:val="00D26650"/>
    <w:rsid w:val="00D26E18"/>
    <w:rsid w:val="00D846A9"/>
    <w:rsid w:val="00D903E4"/>
    <w:rsid w:val="00DE765D"/>
    <w:rsid w:val="00E27167"/>
    <w:rsid w:val="00EC0086"/>
    <w:rsid w:val="00EF1677"/>
    <w:rsid w:val="00F75CC1"/>
    <w:rsid w:val="00FA1CF8"/>
    <w:rsid w:val="00FA37F9"/>
    <w:rsid w:val="00FB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B07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B0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E0911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0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E0911"/>
    <w:rPr>
      <w:vertAlign w:val="superscript"/>
    </w:rPr>
  </w:style>
  <w:style w:type="paragraph" w:customStyle="1" w:styleId="s160">
    <w:name w:val="s_16"/>
    <w:basedOn w:val="a"/>
    <w:rsid w:val="001E77ED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3A7A8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3A7A8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7A8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A7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7A8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 Windows</cp:lastModifiedBy>
  <cp:revision>2</cp:revision>
  <cp:lastPrinted>2022-03-03T07:04:00Z</cp:lastPrinted>
  <dcterms:created xsi:type="dcterms:W3CDTF">2022-06-15T12:14:00Z</dcterms:created>
  <dcterms:modified xsi:type="dcterms:W3CDTF">2022-06-15T12:14:00Z</dcterms:modified>
</cp:coreProperties>
</file>